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Choi Sung Fung (Norman)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80" w:type="dxa"/>
            <w:vAlign w:val="bottom"/>
            <w:tcBorders>
              <w:top w:val="single" w:sz="8" w:color="0000EE"/>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OIO Group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OIO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37"/>
        <w:spacing w:after="0" w:line="402" w:lineRule="auto"/>
        <w:rPr>
          <w:sz w:val="20"/>
          <w:szCs w:val="20"/>
          <w:color w:val="auto"/>
        </w:rPr>
      </w:pPr>
      <w:r>
        <w:rPr>
          <w:rFonts w:ascii="Times New Roman" w:cs="Times New Roman" w:eastAsia="Times New Roman" w:hAnsi="Times New Roman"/>
          <w:sz w:val="18"/>
          <w:szCs w:val="18"/>
          <w:color w:val="0000FF"/>
        </w:rPr>
        <w:t>26/F PROSPERITY TOWER 39 QUEEN'S ROAD CENTRAL</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CENTRAL K3</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20"/>
          <w:szCs w:val="20"/>
          <w:color w:val="0000FF"/>
        </w:rPr>
        <w:t>CEO and Chairman</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197"/>
              <w:spacing w:after="0"/>
              <w:rPr>
                <w:sz w:val="20"/>
                <w:szCs w:val="20"/>
                <w:color w:val="auto"/>
              </w:rPr>
            </w:pPr>
            <w:r>
              <w:rPr>
                <w:rFonts w:ascii="Times New Roman" w:cs="Times New Roman" w:eastAsia="Times New Roman" w:hAnsi="Times New Roman"/>
                <w:sz w:val="20"/>
                <w:szCs w:val="20"/>
                <w:color w:val="0000FF"/>
              </w:rPr>
              <w:t>212,088,084</w:t>
            </w:r>
          </w:p>
        </w:tc>
        <w:tc>
          <w:tcPr>
            <w:tcW w:w="8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237"/>
              <w:spacing w:after="0"/>
              <w:rPr>
                <w:sz w:val="20"/>
                <w:szCs w:val="20"/>
                <w:color w:val="auto"/>
              </w:rPr>
            </w:pPr>
            <w:r>
              <w:rPr>
                <w:rFonts w:ascii="Times New Roman" w:cs="Times New Roman" w:eastAsia="Times New Roman" w:hAnsi="Times New Roman"/>
                <w:sz w:val="20"/>
                <w:szCs w:val="20"/>
                <w:color w:val="0000FF"/>
              </w:rPr>
              <w:t>23,042,191</w:t>
            </w:r>
          </w:p>
        </w:tc>
        <w:tc>
          <w:tcPr>
            <w:tcW w:w="8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40" w:type="dxa"/>
            <w:vAlign w:val="bottom"/>
            <w:vMerge w:val="restart"/>
          </w:tcPr>
          <w:p>
            <w:pPr>
              <w:ind w:left="2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2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shares owned by De Tomaso Automobili Holdings Limited. Mr. Choi is the sole director and has voting and dispositive power over the shares owned by De Tomaso Automobili Holdings Limited and may be deemed to have beneficial ownership of the shares held directly by De Tomaso Automobili Holdings Limited. Mr. Choi disclaims any beneficial ownership of the reported shares other than to the extent of any pecuniary interest he may have therein, directly or indirectly.</w:t>
      </w:r>
    </w:p>
    <w:p>
      <w:pPr>
        <w:spacing w:after="0" w:line="29" w:lineRule="exact"/>
        <w:rPr>
          <w:rFonts w:ascii="Times New Roman" w:cs="Times New Roman" w:eastAsia="Times New Roman" w:hAnsi="Times New Roman"/>
          <w:sz w:val="15"/>
          <w:szCs w:val="15"/>
          <w:color w:val="008000"/>
        </w:rPr>
      </w:pPr>
    </w:p>
    <w:p>
      <w:pPr>
        <w:ind w:left="40" w:right="1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shares owned by Ideal Team Ventures Limited. Mr. Choi is the sole director and has voting and dispositive power over the shares owned by Ideal Team Ventures Limited and may be deemed to have beneficial ownership of the shares held directly by Ideal Team Ventures Limited. Mr. Choi disclaims any beneficial ownership of the reported shares other than to the extent of any pecuniary interest he may have therein, directly or indirectly.</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Sung Fung (Norman)</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20"/>
                <w:szCs w:val="20"/>
                <w:color w:val="0000FF"/>
                <w:w w:val="96"/>
              </w:rPr>
              <w:t>06/26/2026</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2"/>
              </w:rPr>
              <w:t>Choi</w:t>
            </w:r>
          </w:p>
        </w:tc>
        <w:tc>
          <w:tcPr>
            <w:tcW w:w="1520" w:type="dxa"/>
            <w:vAlign w:val="bottom"/>
            <w:vMerge w:val="restart"/>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4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141450" TargetMode="External"/><Relationship Id="rId11" Type="http://schemas.openxmlformats.org/officeDocument/2006/relationships/hyperlink" Target="http://www.sec.gov/cgi-bin/browse-edgar?action=getcompany&amp;CIK=00019575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2026-06-26T17:45:03Z</dcterms:created>
  <dcterms:modified xsi:type="dcterms:W3CDTF">2026-06-26T17:45:03Z</dcterms:modified>
</cp:coreProperties>
</file>