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April 2026</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No. 001-41772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OIO Group</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101 Tuas South Avenue 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637226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2026, OIO Group (formerly known as ESGL Holdings Limited) (the “Company”) received an approval letter from The Nasdaq Stock Market LLC (the “Nasdaq Letter”) in connection with the anticipated closing of its previously announced business combination with De Tomaso Automobili Holdings Limited (the “Business Combination”) and the listing of the combined company on The Nasdaq Capital Market, subject to the satisfaction of the conditions set forth therein.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consummate the Business Combination on or about April 24, 2026, subject to the satisfaction or waiver of customary closing conditions, including applicable regulatory approvals and the satisfaction of the remaining conditions set forth in the Nasdaq Letter.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combined company is expected to commence trading on The Nasdaq Capital Market under the ticker symbol “OIO.”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satisfy all applicable Nasdaq initial listing requirements before the closing of the Business Combination and commencement of trading, including the applicable conditions referenced in the Nasdaq Letter.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effect a 1-for-3 reverse stock split (the “Reverse Stock Split”) on April 24, 2026, immediately prior to, and in connection with, the effectiveness of the closing of the Business Combination, such that each three issued and outstanding ordinary shares of the Company will be combined into one ordinary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Reverse Stock Split forms an integral part of the Company’s transaction and listing structuring and is intended to position the combined company to meet Nasdaq’s initial listing requirements at the time of effectiveness, including the minimum bid price requirement under Nasdaq Listing Rule 5550(a)(2).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provide public disclosure of the Reverse Stock Split  in accordance with applicable Nasdaq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Shareholder Distribution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that its shareholder distribution will continue to satisfy applicable Nasdaq initial listing requirements upon completion of the Business Combination and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as Exhibit 99.1 to this Report on Form 6-K is the Company’s unaudited pro forma condensed combined financial information reflecting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available financial information of the Company and De Tomaso Automobili Holdings Limited;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structure of the Business Combination, including the effects of the Reverse Stock Split and related transactions.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applicable requirements under U.S. securities laws and is intended to present the financial position and results of operations of the combined company as if the Business Combination had occurred at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Attached hereto as Exhibit 99.2 is a press release dated April 22, 2026 relating to the foregoing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applicable securities laws, including statements regarding the expected timing and completion of the Business Combination, the Reverse Stock Split, and the combined company’s anticipated Nasdaq listing.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and assumptions and involve risks and uncertainties that could cause actual results to differ materially. Such risks and uncertainties include, but are not limited to, the failure to satisfy the conditions to the consummation of the Business Combination, delays in obtaining regulatory approvals or Nasdaq listing approval, the Company’s ability to meet Nasdaq initial listing requirements at the time of listing, changes in market conditions, and other risks described in the Company’s filings furnished or filed with the U.S.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undertakes no obligation to update any forward-looking statements, except as required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hereto, is furnished and shall not be deemed to be “filed” for purposes of Section 18 of the Securities Exchange Act of 1934, as amended, or otherwise subject to the liabilities of that section, nor shall it be deemed incorporated by reference into any filing of the Company under the Securities Act of 1933, as amended, except as expressly set forth by specific reference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of OIO Group and De Tomaso Automobili Holdings Limited</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92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22, 2026</w:t>
            </w:r>
          </w:p>
        </w:tc>
        <w:tc>
          <w:tcPr>
            <w:tcW w:w="90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OIO Group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 Shian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 Shian Ching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OIO GROUP f.k.a. ESGL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period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ended December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260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Scenario 3*</w:t>
            </w:r>
          </w:p>
        </w:tc>
        <w:tc>
          <w:tcPr>
            <w:tcW w:w="25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Scenario 4</w:t>
            </w:r>
          </w:p>
        </w:tc>
      </w:tr>
      <w:tr>
        <w:trPr>
          <w:trHeight w:val="187"/>
        </w:trPr>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3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38"/>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ESGL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DT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4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0"/>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r>
      <w:tr>
        <w:trPr>
          <w:trHeight w:val="209"/>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5,831,650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5,831,650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5,831,650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5,831,650</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326,637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361,645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361,645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361,645</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inventory</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(590,514)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(590,514)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(590,514)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(590,514)</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 costs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(916,472)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(916,472)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(916,472)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(916,472)</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of</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(1,622,290)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(1,622,290)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(1,622,290)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(1,622,290)</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(1,633,856)</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(1,633,856)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(1,633,856)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(1,633,856)</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benefits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(3,326,183)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(3,326,183)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(3,326,183)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(3,326,183)</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(292,656)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(754,633)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(1,047,289)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(1,047,289)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(1,047,289)</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(2,693,000)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(7,115,925)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(215,000)</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(10,023,925)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(215,000)</w:t>
            </w:r>
          </w:p>
        </w:tc>
        <w:tc>
          <w:tcPr>
            <w:tcW w:w="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(10,023,925)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(215,000)</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(10,023,925)</w:t>
            </w:r>
          </w:p>
        </w:tc>
      </w:tr>
      <w:tr>
        <w:trPr>
          <w:trHeight w:val="223"/>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before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(4,916,684)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(7,835,550)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(12,967,234)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(12,967,234)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(12,967,234)</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credit/(expense)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155,165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(19,127)</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136,038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136,038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136,038</w:t>
            </w:r>
          </w:p>
        </w:tc>
      </w:tr>
      <w:tr>
        <w:trPr>
          <w:trHeight w:val="210"/>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(4,761,519)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(7,854,677)</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(12,831,196)</w:t>
            </w: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(12,831,196)</w:t>
            </w: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(12,831,196)</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14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148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(loss)/income :</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4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that will not</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be reclassified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subsequently to</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profit or loss:</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(loss)/surplus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on revaluation of</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land and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960,116</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960,116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960,116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960,116</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4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that may be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reclassified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subsequently to</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profit or loss:</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Movements in</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reserve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(431,635)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(431,635)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(431,635)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(431,635)</w:t>
            </w:r>
          </w:p>
        </w:tc>
      </w:tr>
      <w:tr>
        <w:trPr>
          <w:trHeight w:val="209"/>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48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5"/>
        </w:trPr>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(4,233,038)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(7,854,677)</w:t>
            </w: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(12,302,715)</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(12,302,715)</w:t>
            </w: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(12,302,715)</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right="4760"/>
        <w:spacing w:after="0" w:line="504" w:lineRule="auto"/>
        <w:rPr>
          <w:sz w:val="20"/>
          <w:szCs w:val="20"/>
          <w:color w:val="auto"/>
        </w:rPr>
      </w:pPr>
      <w:r>
        <w:rPr>
          <w:rFonts w:ascii="Times New Roman" w:cs="Times New Roman" w:eastAsia="Times New Roman" w:hAnsi="Times New Roman"/>
          <w:sz w:val="18"/>
          <w:szCs w:val="18"/>
          <w:i w:val="1"/>
          <w:iCs w:val="1"/>
          <w:color w:val="auto"/>
        </w:rPr>
        <w:t xml:space="preserve">*The previous Scenario 2 is no longer considered as FY2025 performance targets not met </w:t>
      </w:r>
      <w:r>
        <w:rPr>
          <w:rFonts w:ascii="Times New Roman" w:cs="Times New Roman" w:eastAsia="Times New Roman" w:hAnsi="Times New Roman"/>
          <w:sz w:val="18"/>
          <w:szCs w:val="18"/>
          <w:color w:val="auto"/>
        </w:rPr>
        <w:t>[B] an adjustment to accrue $215,000 Business Combination transaction costs.</w:t>
      </w:r>
    </w:p>
    <w:p>
      <w:pPr>
        <w:sectPr>
          <w:pgSz w:w="11900" w:h="17038" w:orient="portrait"/>
          <w:cols w:equalWidth="0" w:num="1">
            <w:col w:w="11240"/>
          </w:cols>
          <w:pgMar w:left="320" w:top="360" w:right="3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OIO GROUP f.k.a. ESGL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4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268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Scenario 3*</w:t>
            </w:r>
          </w:p>
        </w:tc>
        <w:tc>
          <w:tcPr>
            <w:tcW w:w="26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Scenario 4</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3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ESGL</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74"/>
        </w:trPr>
        <w:tc>
          <w:tcPr>
            <w:tcW w:w="1100" w:type="dxa"/>
            <w:vAlign w:val="bottom"/>
            <w:gridSpan w:val="4"/>
            <w:vMerge w:val="continue"/>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533,609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717,202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1,250,811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1,250,811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1,250,811</w:t>
            </w: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Trade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1,140,120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394,483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1,534,603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1,534,603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1,534,603</w:t>
            </w:r>
          </w:p>
        </w:tc>
        <w:tc>
          <w:tcPr>
            <w:tcW w:w="0" w:type="dxa"/>
            <w:vAlign w:val="bottom"/>
          </w:tcPr>
          <w:p>
            <w:pPr>
              <w:spacing w:after="0"/>
              <w:rPr>
                <w:sz w:val="1"/>
                <w:szCs w:val="1"/>
                <w:color w:val="auto"/>
              </w:rPr>
            </w:pPr>
          </w:p>
        </w:tc>
      </w:tr>
      <w:tr>
        <w:trPr>
          <w:trHeight w:val="230"/>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300,258</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8,835,820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9,136,078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9,136,078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9,136,078</w:t>
            </w:r>
          </w:p>
        </w:tc>
        <w:tc>
          <w:tcPr>
            <w:tcW w:w="0" w:type="dxa"/>
            <w:vAlign w:val="bottom"/>
          </w:tcPr>
          <w:p>
            <w:pPr>
              <w:spacing w:after="0"/>
              <w:rPr>
                <w:sz w:val="1"/>
                <w:szCs w:val="1"/>
                <w:color w:val="auto"/>
              </w:rPr>
            </w:pPr>
          </w:p>
        </w:tc>
      </w:tr>
      <w:tr>
        <w:trPr>
          <w:trHeight w:val="178"/>
        </w:trPr>
        <w:tc>
          <w:tcPr>
            <w:tcW w:w="11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Total current</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1,973,987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9,947,505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11,921,492</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11,921,492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11,921,492</w:t>
            </w:r>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Property,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plant and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21,471,539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4,099,788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25,571,327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25,571,327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25,571,327</w:t>
            </w:r>
          </w:p>
        </w:tc>
        <w:tc>
          <w:tcPr>
            <w:tcW w:w="0" w:type="dxa"/>
            <w:vAlign w:val="bottom"/>
          </w:tcPr>
          <w:p>
            <w:pPr>
              <w:spacing w:after="0"/>
              <w:rPr>
                <w:sz w:val="1"/>
                <w:szCs w:val="1"/>
                <w:color w:val="auto"/>
              </w:rPr>
            </w:pPr>
          </w:p>
        </w:tc>
      </w:tr>
      <w:tr>
        <w:trPr>
          <w:trHeight w:val="216"/>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29,675,239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29,675,239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27,596,046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27,596,046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25,705,874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25,705,874</w:t>
            </w: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Intangible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net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2,434,455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99,212,253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101,646,708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101,646,708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101,646,708</w:t>
            </w:r>
          </w:p>
        </w:tc>
        <w:tc>
          <w:tcPr>
            <w:tcW w:w="0" w:type="dxa"/>
            <w:vAlign w:val="bottom"/>
          </w:tcPr>
          <w:p>
            <w:pPr>
              <w:spacing w:after="0"/>
              <w:rPr>
                <w:sz w:val="1"/>
                <w:szCs w:val="1"/>
                <w:color w:val="auto"/>
              </w:rPr>
            </w:pPr>
          </w:p>
        </w:tc>
      </w:tr>
      <w:tr>
        <w:trPr>
          <w:trHeight w:val="178"/>
        </w:trPr>
        <w:tc>
          <w:tcPr>
            <w:tcW w:w="1100" w:type="dxa"/>
            <w:vAlign w:val="bottom"/>
            <w:tcBorders>
              <w:top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non-</w:t>
            </w: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23,905,994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103,312,041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156,893,274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154,814,081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152,923,909</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25,879,981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113,259,546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168,814,766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166,735,573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164,845,401</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and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4,439,616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7,756,214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215,000</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12,410,830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215,000</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12,410,830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215,000</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12,410,830</w:t>
            </w: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785,991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79,606,019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80,392,010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80,392,010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80,392,010</w:t>
            </w: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301,143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301,143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301,143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301,143</w:t>
            </w: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Amounts due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related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1,140,809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16,543,827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17,684,636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17,684,636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17,684,636</w:t>
            </w: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due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 a member</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134,980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5,009,000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5,143,980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5,143,980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5,143,980</w:t>
            </w: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Borrowings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3,499,706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5,548,532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9,048,238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9,048,238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9,048,238</w:t>
            </w:r>
          </w:p>
        </w:tc>
        <w:tc>
          <w:tcPr>
            <w:tcW w:w="0" w:type="dxa"/>
            <w:vAlign w:val="bottom"/>
          </w:tcPr>
          <w:p>
            <w:pPr>
              <w:spacing w:after="0"/>
              <w:rPr>
                <w:sz w:val="1"/>
                <w:szCs w:val="1"/>
                <w:color w:val="auto"/>
              </w:rPr>
            </w:pPr>
          </w:p>
        </w:tc>
      </w:tr>
      <w:tr>
        <w:trPr>
          <w:trHeight w:val="229"/>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54,423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54,423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54,423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54,423</w:t>
            </w:r>
          </w:p>
        </w:tc>
        <w:tc>
          <w:tcPr>
            <w:tcW w:w="0" w:type="dxa"/>
            <w:vAlign w:val="bottom"/>
          </w:tcPr>
          <w:p>
            <w:pPr>
              <w:spacing w:after="0"/>
              <w:rPr>
                <w:sz w:val="1"/>
                <w:szCs w:val="1"/>
                <w:color w:val="auto"/>
              </w:rPr>
            </w:pPr>
          </w:p>
        </w:tc>
      </w:tr>
      <w:tr>
        <w:trPr>
          <w:trHeight w:val="178"/>
        </w:trPr>
        <w:tc>
          <w:tcPr>
            <w:tcW w:w="11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Total current</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10,356,668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114,463,592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125,035,260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125,035,260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125,035,260</w:t>
            </w:r>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Non-current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1,831,126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1,831,126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1,831,126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1,831,126</w:t>
            </w:r>
          </w:p>
        </w:tc>
        <w:tc>
          <w:tcPr>
            <w:tcW w:w="0" w:type="dxa"/>
            <w:vAlign w:val="bottom"/>
          </w:tcPr>
          <w:p>
            <w:pPr>
              <w:spacing w:after="0"/>
              <w:rPr>
                <w:sz w:val="1"/>
                <w:szCs w:val="1"/>
                <w:color w:val="auto"/>
              </w:rPr>
            </w:pPr>
          </w:p>
        </w:tc>
      </w:tr>
      <w:tr>
        <w:trPr>
          <w:trHeight w:val="198"/>
        </w:trPr>
        <w:tc>
          <w:tcPr>
            <w:tcW w:w="11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Deferred tax</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178"/>
        </w:trPr>
        <w:tc>
          <w:tcPr>
            <w:tcW w:w="1100" w:type="dxa"/>
            <w:vAlign w:val="bottom"/>
            <w:tcBorders>
              <w:top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non-</w:t>
            </w: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1,846,126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1,846,126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1,846,126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1,846,126</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0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12,202,794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114,463,592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126,881,386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126,881,386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126,881,386</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13,677,187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(1,204,046)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41,933,380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39,854,187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37,964,015</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EQUITY</w:t>
            </w: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13,832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52,201,000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(52,110,748)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104,084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(52,105,748)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109,084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(52,100,748)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114,084</w:t>
            </w:r>
          </w:p>
        </w:tc>
        <w:tc>
          <w:tcPr>
            <w:tcW w:w="0" w:type="dxa"/>
            <w:vAlign w:val="bottom"/>
          </w:tcPr>
          <w:p>
            <w:pPr>
              <w:spacing w:after="0"/>
              <w:rPr>
                <w:sz w:val="1"/>
                <w:szCs w:val="1"/>
                <w:color w:val="auto"/>
              </w:rPr>
            </w:pPr>
          </w:p>
        </w:tc>
      </w:tr>
      <w:tr>
        <w:trPr>
          <w:trHeight w:val="198"/>
        </w:trPr>
        <w:tc>
          <w:tcPr>
            <w:tcW w:w="11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Accumulated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(105,380,700)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(53,899,718)</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105,165,700</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(54,114,718)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105,165,700</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(54,114,718)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105,165,700</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(54,114,718)</w:t>
            </w:r>
          </w:p>
        </w:tc>
        <w:tc>
          <w:tcPr>
            <w:tcW w:w="0" w:type="dxa"/>
            <w:vAlign w:val="bottom"/>
          </w:tcPr>
          <w:p>
            <w:pPr>
              <w:spacing w:after="0"/>
              <w:rPr>
                <w:sz w:val="1"/>
                <w:szCs w:val="1"/>
                <w:color w:val="auto"/>
              </w:rPr>
            </w:pPr>
          </w:p>
        </w:tc>
      </w:tr>
    </w:tbl>
    <w:p>
      <w:pPr>
        <w:sectPr>
          <w:pgSz w:w="11900" w:h="16900" w:orient="portrait"/>
          <w:cols w:equalWidth="0" w:num="1">
            <w:col w:w="11240"/>
          </w:cols>
          <w:pgMar w:left="320" w:top="684"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3,422,799</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(3,422,799)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(3,422,799)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(3,422,799)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99,004,833</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(3,555,491)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95,449,342</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(5,639,684)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93,365,149</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(7,534,856)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91,469,977</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reserve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1,240,000</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(1,240,000)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(1,240,000)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(1,240,000)</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(1,240,000)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(1,240,000)</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(554,833)</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494,672</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554,833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494,672</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554,833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494,672</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554,833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494,672</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Revaluation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Surplus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15,931,256</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(15,931,256)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(15,931,256)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(15,931,256)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13,677,187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(1,204,046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41,933,380</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38,614,187</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36,724,015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previous Scenario 2 is no longer considered as FY2025 performance targets not met</w:t>
      </w:r>
    </w:p>
    <w:p>
      <w:pPr>
        <w:spacing w:after="0" w:line="227" w:lineRule="exact"/>
        <w:rPr>
          <w:sz w:val="20"/>
          <w:szCs w:val="20"/>
          <w:color w:val="auto"/>
        </w:rPr>
      </w:pPr>
    </w:p>
    <w:p>
      <w:pPr>
        <w:jc w:val="right"/>
        <w:ind w:left="5580" w:right="5560" w:hanging="5572"/>
        <w:spacing w:after="0" w:line="532" w:lineRule="auto"/>
        <w:tabs>
          <w:tab w:leader="none" w:pos="2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accrue $215,000 Business Combination transaction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OIO Group Announces Reverse Stock Split Ahead of Nasdaq Listing and De Tomaso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April 22, 2026 — OIO Group (the “Company”) today announced that its Board of Directors has approved a reverse stock split of the Company’s issued and outstanding ordinary shares at a ratio of 1-for-3 (the “Reverse Stock Split”), which will become effective at 12:01 a.m. Eastern Time on April 24, 2026 (the “Effective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will be effected in connection with, and immediately prior to, the concurrent closing of the Company’s previously announced business combination with De Tomaso Automobili Holdings Limited (“De Tomaso”) and the commencement of trading of the Company’s ordinary shares on The Nasdaq Capital Market on a split-adjusted basis under the symbol “OIO”.</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the Effective Time, every three (3) issued and outstanding ordinary shares of the Company will be automatically combined into one (1) ordinary share. No fractional shares will be issued in connection with the Reverse Stock Split, and any fractional entitlements will be rounded up to the nearest whole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ordinary shares are expected to begin trading on a split-adjusted basis on April 24, 2026. The post-split CUSIP number for the Company’s ordinary shares will be G3R95P124.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is being implemented in connection with the Company’s planned Nasdaq listing and is intended to support compliance with the minimum bid price requirement under Nasdaq Listing Rule 5550(a)(2) in connection with the effectiveness of its listing and the concurrent closing of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effectiveness of the Reverse Stock Split and closing of the business combination, OIO Group expects to commence trading on Nasdaq as the combined company, marking a significant milestone in the Company’s strategic development and public market positioning.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will proportionately reduce the number of issued and outstanding ordinary shares of the Company and will apply proportionately to the Company’s outstanding equity awards and other convertible securities, subject to their terms. The Reverse Stock Split will not affect the proportionate ownership interests of shareholders, except for minor adjustments resulting from the treatment of fractional shares.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consideration shares to be issued to De Tomaso shareholders will be adjusted on a proportionate basis to reflect the Reverse Stock Split, with no change to the overall economic value of the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effectiveness, the Company will have a reduced number of issued and outstanding shares and a share capital structure aligned with its Nasdaq listing.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Continental Stock Transfer &amp; Trust Company will act as the exchange agent for the Reverse Stock Split. Shareholders holding shares in book-entry form or through a broker will not be required to take any 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Reverse Stock Split and the business combination will be included in the Company’s reports furnished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OIO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OIO Group (NASDAQ: OIO), formerly known as ESGL Holdings Limited, is a Singapore-based public company focused on building and supporting distinctive operating businesses with strong heritage, engineering capability, and long-term growth potential. The Company currently operates through its subsidiary, Environmental Solutions (Asia) Pte. Ltd., and is evolving its strategy toward developing a portfolio of companies where brand, engineering excellence, and disciplined value creation intersect.</w:t>
      </w:r>
    </w:p>
    <w:p>
      <w:pPr>
        <w:spacing w:after="0" w:line="203"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For more information, including the Company’s filings with the U.S. Securities and Exchange Commission, please visit https://oiogroup.co.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Certain statements in this press release may be considered to contain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xml:space="preserve"> within the meaning of the </w:t>
      </w:r>
      <w:r>
        <w:rPr>
          <w:rFonts w:ascii="Times New Roman" w:cs="Times New Roman" w:eastAsia="Times New Roman" w:hAnsi="Times New Roman"/>
          <w:sz w:val="18"/>
          <w:szCs w:val="18"/>
          <w:b w:val="1"/>
          <w:bCs w:val="1"/>
          <w:color w:val="auto"/>
        </w:rPr>
        <w:t>“safe harbor”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Private Securities Litigation Reform Act of 1995</w:t>
      </w:r>
      <w:r>
        <w:rPr>
          <w:rFonts w:ascii="Times New Roman" w:cs="Times New Roman" w:eastAsia="Times New Roman" w:hAnsi="Times New Roman"/>
          <w:sz w:val="18"/>
          <w:szCs w:val="18"/>
          <w:color w:val="auto"/>
        </w:rPr>
        <w:t>. Forward-looking statements can be identified by words such as “target,” “believe,” “expect,”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“shall,” “may,” “anticipate,” “estimate,” “would,” “positioned,” “future,” “forecast,” “intend,” “plan,” “project,” and other similar expressions that predict or indicate future events or trends or that are not statements of historical matters.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Forward-looking statements are neither historical facts nor assurances of future performance. Instead, they are based only on the current beliefs, expectations, and assumptions of management of </w:t>
      </w:r>
      <w:r>
        <w:rPr>
          <w:rFonts w:ascii="Times New Roman" w:cs="Times New Roman" w:eastAsia="Times New Roman" w:hAnsi="Times New Roman"/>
          <w:sz w:val="18"/>
          <w:szCs w:val="18"/>
          <w:b w:val="1"/>
          <w:bCs w:val="1"/>
          <w:color w:val="auto"/>
        </w:rPr>
        <w:t>OIO Group</w:t>
      </w:r>
      <w:r>
        <w:rPr>
          <w:rFonts w:ascii="Times New Roman" w:cs="Times New Roman" w:eastAsia="Times New Roman" w:hAnsi="Times New Roman"/>
          <w:sz w:val="18"/>
          <w:szCs w:val="18"/>
          <w:color w:val="auto"/>
        </w:rPr>
        <w:t xml:space="preserve"> (formerly known as </w:t>
      </w:r>
      <w:r>
        <w:rPr>
          <w:rFonts w:ascii="Times New Roman" w:cs="Times New Roman" w:eastAsia="Times New Roman" w:hAnsi="Times New Roman"/>
          <w:sz w:val="18"/>
          <w:szCs w:val="18"/>
          <w:b w:val="1"/>
          <w:bCs w:val="1"/>
          <w:color w:val="auto"/>
        </w:rPr>
        <w:t>ESGL Holdings Limited</w:t>
      </w:r>
      <w:r>
        <w:rPr>
          <w:rFonts w:ascii="Times New Roman" w:cs="Times New Roman" w:eastAsia="Times New Roman" w:hAnsi="Times New Roman"/>
          <w:sz w:val="18"/>
          <w:szCs w:val="18"/>
          <w:color w:val="auto"/>
        </w:rPr>
        <w:t>). Because forward-looking statements relate to the future, they are subject to inherent uncertainties, risks, and changes in circumstances that are difficult to predict and many of which are outside of the Company’s control. Actual results and outcomes may differ materially from those indicated in the forward-looking statements. Therefore, you should not rely on any of these forward-looking statements.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 further list and description of risks and uncertainties can be found in documents filed with the </w:t>
      </w:r>
      <w:r>
        <w:rPr>
          <w:rFonts w:ascii="Times New Roman" w:cs="Times New Roman" w:eastAsia="Times New Roman" w:hAnsi="Times New Roman"/>
          <w:sz w:val="18"/>
          <w:szCs w:val="18"/>
          <w:b w:val="1"/>
          <w:bCs w:val="1"/>
          <w:color w:val="auto"/>
        </w:rPr>
        <w:t>U.S. Securities and Exchange Commission (“SEC”)</w:t>
      </w:r>
      <w:r>
        <w:rPr>
          <w:rFonts w:ascii="Times New Roman" w:cs="Times New Roman" w:eastAsia="Times New Roman" w:hAnsi="Times New Roman"/>
          <w:sz w:val="18"/>
          <w:szCs w:val="18"/>
          <w:color w:val="auto"/>
        </w:rPr>
        <w:t xml:space="preserve"> by the Company and in other documents that the Company may file or furnish with the SEC, which you are encouraged to read. Any forward-looking statement made by the Company in this press release is based only on information currently available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OIO Group 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ir@oiogroup.co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Phone: </w:t>
      </w:r>
      <w:r>
        <w:rPr>
          <w:rFonts w:ascii="Times New Roman" w:cs="Times New Roman" w:eastAsia="Times New Roman" w:hAnsi="Times New Roman"/>
          <w:sz w:val="18"/>
          <w:szCs w:val="18"/>
          <w:b w:val="1"/>
          <w:bCs w:val="1"/>
          <w:color w:val="auto"/>
        </w:rPr>
        <w:t>+65 6653 2299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2026-04-22T11:05:09Z</dcterms:created>
  <dcterms:modified xsi:type="dcterms:W3CDTF">2026-04-22T11:05:09Z</dcterms:modified>
</cp:coreProperties>
</file>